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87.png" ContentType="image/png"/>
  <Override PartName="/word/media/rId82.png" ContentType="image/png"/>
  <Override PartName="/word/media/rId81.png" ContentType="image/png"/>
  <Override PartName="/word/media/rId84.png" ContentType="image/png"/>
  <Override PartName="/word/media/rId85.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20</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2019)</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 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After evaluating all methods,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p>
      <w:pPr>
        <w:pStyle w:val="BodyText"/>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employed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abundance estimate of Northern Pikeminnow for the spring 2021 sampling event to be a conservative estimate.</w:t>
      </w:r>
    </w:p>
    <w:p>
      <w:pPr>
        <w:pStyle w:val="BodyText"/>
      </w:pPr>
      <w:r>
        <w:t xml:space="preserve">Finally,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unknown.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t>
      </w:r>
      <w:r>
        <w:t xml:space="preserve">and 3,000 J/g for invertebrates. Additional settings included 0% assumed indigestible prety, and a variation in the proportion of diet that was invertebrates or fish ranging from 10% to 90% for both categories.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 in R</w:t>
      </w:r>
      <w:r>
        <w:t xml:space="preserve"> </w:t>
      </w:r>
      <w:r>
        <w:t xml:space="preserve">(Ogle et al. 2021)</w:t>
      </w:r>
      <w:r>
        <w:t xml:space="preserve">. The average length of Northern Pikeminnow captured at the Deadwater Slough during the spring and fall were 352.9 and 393.7 mm, respectively, which calculates to average starting weights of 504.4 and 670.5 g.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multiplied the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captured at six rotary screw traps throughout the operation season March to November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7" w:name="literature-cited"/>
    <w:p>
      <w:pPr>
        <w:pStyle w:val="Heading1"/>
      </w:pPr>
      <w:r>
        <w:t xml:space="preserve">Literature Cited</w:t>
      </w:r>
    </w:p>
    <w:bookmarkStart w:id="76"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3"/>
    <w:bookmarkStart w:id="54"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4"/>
    <w:bookmarkStart w:id="55" w:name="ref-Lott2020"/>
    <w:p>
      <w:pPr>
        <w:pStyle w:val="Bibliography"/>
      </w:pPr>
      <w:r>
        <w:t xml:space="preserve">Lott, B., K. See, M. W. Ackerman, and N. Porter. 2020. Deadwater predator assessment. Technical report prepared by Biomark, Inc. Prepared for Bureau of Reclamation, Department of Interior.</w:t>
      </w:r>
    </w:p>
    <w:bookmarkEnd w:id="55"/>
    <w:bookmarkStart w:id="56"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7"/>
    <w:bookmarkStart w:id="58"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58"/>
    <w:bookmarkStart w:id="59"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59"/>
    <w:bookmarkStart w:id="60" w:name="ref-NOAA2017"/>
    <w:p>
      <w:pPr>
        <w:pStyle w:val="Bibliography"/>
      </w:pPr>
      <w:r>
        <w:t xml:space="preserve">National Oceanic and Atmospheric Administration.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0"/>
    <w:bookmarkStart w:id="61"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1"/>
    <w:bookmarkStart w:id="62"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2"/>
    <w:bookmarkStart w:id="63"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3"/>
    <w:bookmarkStart w:id="64"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4"/>
    <w:bookmarkStart w:id="6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5"/>
    <w:bookmarkStart w:id="6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6"/>
    <w:bookmarkStart w:id="6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7"/>
    <w:bookmarkStart w:id="6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8"/>
    <w:bookmarkStart w:id="6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69"/>
    <w:bookmarkStart w:id="7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0"/>
    <w:bookmarkStart w:id="7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1"/>
    <w:bookmarkStart w:id="72"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2"/>
    <w:bookmarkStart w:id="73" w:name="ref-Winther2019"/>
    <w:p>
      <w:pPr>
        <w:pStyle w:val="Bibliography"/>
      </w:pPr>
      <w:r>
        <w:t xml:space="preserve">Winther, E., C. M. Barr, C. Miller, and C. Wheaton. 2019.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2019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3"/>
    <w:bookmarkStart w:id="74"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4"/>
    <w:bookmarkStart w:id="75"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5"/>
    <w:bookmarkEnd w:id="76"/>
    <w:p>
      <w:r>
        <w:br w:type="page"/>
      </w:r>
    </w:p>
    <w:bookmarkEnd w:id="77"/>
    <w:bookmarkStart w:id="79" w:name="tables"/>
    <w:p>
      <w:pPr>
        <w:pStyle w:val="Heading1"/>
      </w:pPr>
      <w:r>
        <w:t xml:space="preserve">Tables</w:t>
      </w:r>
    </w:p>
    <w:bookmarkStart w:id="78" w:name="tables"/>
    <w:bookmarkEnd w:id="78"/>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79"/>
    <w:bookmarkStart w:id="89" w:name="figures"/>
    <w:p>
      <w:pPr>
        <w:pStyle w:val="Heading1"/>
      </w:pPr>
      <w:r>
        <w:t xml:space="preserve">Figures</w:t>
      </w:r>
    </w:p>
    <w:bookmarkStart w:id="80" w:name="figures"/>
    <w:bookmarkEnd w:id="80"/>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1"/>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88" w:name="colophon"/>
    <w:p>
      <w:pPr>
        <w:pStyle w:val="Heading3"/>
      </w:pPr>
      <w:r>
        <w:t xml:space="preserve">Colophon</w:t>
      </w:r>
    </w:p>
    <w:p>
      <w:pPr>
        <w:pStyle w:val="FirstParagraph"/>
      </w:pPr>
      <w:r>
        <w:t xml:space="preserve">This report was generated on 2021-12-20 13:29:57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[ab497ba] 2021-12-20: added study site description back in</w:t>
      </w:r>
    </w:p>
    <w:bookmarkEnd w:id="88"/>
    <w:bookmarkEnd w:id="89"/>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2021-12-20T20:29:59Z</dcterms:created>
  <dcterms:modified xsi:type="dcterms:W3CDTF">2021-12-20T20:29:59Z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